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1203" w:rsidRPr="0078474E" w:rsidRDefault="004F2F88"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4F2F88"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広島県</w:t>
      </w:r>
      <w:bookmarkStart w:id="0" w:name="_GoBack"/>
      <w:bookmarkEnd w:id="0"/>
      <w:r w:rsidR="00BB1203" w:rsidRPr="0078474E">
        <w:rPr>
          <w:rFonts w:ascii="ＭＳ ゴシック" w:eastAsia="ＭＳ ゴシック" w:hAnsi="ＭＳ ゴシック" w:cs="Times New Roman" w:hint="eastAsia"/>
          <w:sz w:val="22"/>
          <w:szCs w:val="22"/>
        </w:rPr>
        <w:t>地域事務局長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4F2F88" w:rsidRPr="004F2F88">
      <w:rPr>
        <w:rFonts w:ascii="ＭＳ ゴシック" w:eastAsia="ＭＳ ゴシック" w:hAnsi="ＭＳ ゴシック"/>
        <w:noProof/>
        <w:sz w:val="21"/>
        <w:lang w:val="ja-JP"/>
      </w:rPr>
      <w:t>2</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88"/>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793C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8BFC3-5B5D-4C50-95F7-7283A99DD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294</Words>
  <Characters>1676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1967</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2019-02-18T07:53:00Z</dcterms:modified>
</cp:coreProperties>
</file>